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34112" w:rsidRPr="00934112" w:rsidTr="00934112">
        <w:trPr>
          <w:trHeight w:val="413"/>
        </w:trPr>
        <w:tc>
          <w:tcPr>
            <w:tcW w:w="9781" w:type="dxa"/>
          </w:tcPr>
          <w:p w:rsidR="00934112" w:rsidRPr="00934112" w:rsidRDefault="00934112" w:rsidP="00934112">
            <w:pPr>
              <w:spacing w:after="0" w:line="240" w:lineRule="auto"/>
              <w:jc w:val="center"/>
              <w:rPr>
                <w:rFonts w:cstheme="minorHAnsi"/>
                <w:b/>
                <w:sz w:val="24"/>
                <w:szCs w:val="24"/>
              </w:rPr>
            </w:pPr>
            <w:r w:rsidRPr="00934112">
              <w:rPr>
                <w:rFonts w:cstheme="minorHAnsi"/>
                <w:b/>
                <w:sz w:val="24"/>
                <w:szCs w:val="24"/>
              </w:rPr>
              <w:t>VĒRTĒŠANAS NOSACĪJUMI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eastAsia="Helvetica" w:cstheme="minorHAnsi"/>
                <w:iCs/>
                <w:szCs w:val="24"/>
              </w:rPr>
            </w:pPr>
            <w:r w:rsidRPr="00934112">
              <w:rPr>
                <w:rFonts w:eastAsia="Helvetica" w:cstheme="minorHAnsi"/>
                <w:iCs/>
                <w:szCs w:val="24"/>
              </w:rPr>
              <w:t xml:space="preserve">Iepirkumu </w:t>
            </w:r>
            <w:r w:rsidR="004528F9" w:rsidRPr="004528F9">
              <w:rPr>
                <w:rFonts w:ascii="Calibri" w:hAnsi="Calibri" w:cs="Calibri"/>
              </w:rPr>
              <w:t>ar N</w:t>
            </w:r>
            <w:r w:rsidR="004528F9" w:rsidRPr="004528F9">
              <w:rPr>
                <w:rFonts w:cs="Calibri"/>
              </w:rPr>
              <w:t>īcas novada domes 2013.gada 10. janvāra rīkojumu Nr. 3-04/6, ņemot vērā 2013.gada 15.jūlija rīkojumu Nr.3-04/93, 2014.gada 24. septembra rīkojumu Nr.2.1.5/86, 2017.gada 28.februāra rīkojumu Nr.2.1.5/34, 2017.gada 16.jūnija rīkojumu Nr.2.1.</w:t>
            </w:r>
            <w:r w:rsidR="004528F9" w:rsidRPr="000A59FC">
              <w:rPr>
                <w:rFonts w:cs="Calibri"/>
              </w:rPr>
              <w:t>5/87 un 2018.gada 5.septembra rīkojumu Nr.2.1.5/89</w:t>
            </w:r>
            <w:r w:rsidR="00864872">
              <w:rPr>
                <w:rFonts w:cs="Calibri"/>
              </w:rPr>
              <w:t xml:space="preserve"> un 2019.gada 26.marta rīkojumu Nr.2.1.5/45</w:t>
            </w:r>
            <w:bookmarkStart w:id="0" w:name="_GoBack"/>
            <w:bookmarkEnd w:id="0"/>
            <w:r w:rsidR="004528F9" w:rsidRPr="000A59FC">
              <w:rPr>
                <w:rFonts w:cs="Calibri"/>
              </w:rPr>
              <w:t xml:space="preserve"> par izmaiņām iepirkuma komisijas sastāvā</w:t>
            </w:r>
            <w:r w:rsidR="004528F9" w:rsidRPr="000A59FC">
              <w:rPr>
                <w:rStyle w:val="Virsraksts3Rakstz"/>
                <w:rFonts w:asciiTheme="minorHAnsi" w:eastAsia="Helvetica" w:hAnsiTheme="minorHAnsi" w:cstheme="minorHAnsi"/>
                <w:iCs/>
                <w:sz w:val="22"/>
                <w:szCs w:val="24"/>
              </w:rPr>
              <w:t xml:space="preserve"> </w:t>
            </w:r>
            <w:r w:rsidRPr="000A59FC">
              <w:rPr>
                <w:rStyle w:val="emailstyle19"/>
                <w:rFonts w:asciiTheme="minorHAnsi" w:eastAsia="Helvetica" w:hAnsiTheme="minorHAnsi" w:cstheme="minorHAnsi"/>
                <w:iCs/>
                <w:color w:val="auto"/>
                <w:sz w:val="22"/>
                <w:szCs w:val="24"/>
              </w:rPr>
              <w:t>(</w:t>
            </w:r>
            <w:r w:rsidRPr="000A59FC">
              <w:rPr>
                <w:rStyle w:val="emailstyle19"/>
                <w:rFonts w:asciiTheme="minorHAnsi" w:eastAsia="Helvetica" w:hAnsiTheme="minorHAnsi" w:cstheme="minorHAnsi"/>
                <w:i/>
                <w:iCs/>
                <w:color w:val="auto"/>
                <w:sz w:val="22"/>
                <w:szCs w:val="24"/>
              </w:rPr>
              <w:t>Nolikumā arī – Komisija</w:t>
            </w:r>
            <w:r w:rsidRPr="000A59FC">
              <w:rPr>
                <w:rStyle w:val="emailstyle19"/>
                <w:rFonts w:asciiTheme="minorHAnsi" w:eastAsia="Helvetica" w:hAnsiTheme="minorHAnsi" w:cstheme="minorHAnsi"/>
                <w:iCs/>
                <w:color w:val="auto"/>
                <w:sz w:val="22"/>
                <w:szCs w:val="24"/>
              </w:rPr>
              <w:t>).</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Piedāvājumu noformējuma pārbaudi, pretendentu atlasi un piedāvājumu vērtēšanu Komisija veic slēgtā sēdē.</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Pārbaudot piedāvājumu atbilstību nolikumā izvirzītajām prasībām, Komisija pārbauda atbilstību noformējuma prasībām, atbilstīb</w:t>
            </w:r>
            <w:r>
              <w:rPr>
                <w:rFonts w:cstheme="minorHAnsi"/>
                <w:szCs w:val="24"/>
              </w:rPr>
              <w:t xml:space="preserve">u pretendentu atlases prasībām </w:t>
            </w:r>
            <w:r w:rsidRPr="00934112">
              <w:rPr>
                <w:rFonts w:cstheme="minorHAnsi"/>
                <w:szCs w:val="24"/>
              </w:rPr>
              <w:t>un veic piedāvājuma izvēli.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Komisijai rodas šaubas par iesniegtās dokumenta kopijas autentiskumu, tā pieprasa, lai pretendents uzrāda dokumenta oriģinālu vai iesniedz apliecinātu dokumenta kopiju.</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 xml:space="preserve">Piedāvājumu vērtēšanas gaitā Komisija ir tiesīga pieprasīt, lai tiek izskaidrota </w:t>
            </w:r>
            <w:r>
              <w:rPr>
                <w:rFonts w:cstheme="minorHAnsi"/>
                <w:szCs w:val="24"/>
              </w:rPr>
              <w:t>tāmēs un</w:t>
            </w:r>
            <w:r w:rsidRPr="00934112">
              <w:rPr>
                <w:rFonts w:cstheme="minorHAnsi"/>
                <w:szCs w:val="24"/>
              </w:rPr>
              <w:t xml:space="preserve"> finanšu piedāvājumā iekļautā informācija.</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Komisija pieprasa, lai pretendents precizē iesniegto informāciju, tā nosaka termiņu, līdz kuram pretendentam jāsniedz atbilde.</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pretendents neiesniedz komisijas pieprasītās ziņas vai paskaidrojumus, Komisija piedāvājumu vērtē pēc tiem dokumentiem, kas ir iekļauti piedāvājumā.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Piedāvājuma noformējuma pārbaudei, pretendentu atlasei, kā arī piedāvājumu vērtēšanai un salīdzināšanai Komisija var pieaicināt ekspertu.</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Ekspertam ir tiesības iepazīties ar piedāvājumiem, kā arī lūgt Komisiju pieprasīt no pretendenta papildu informāciju, kas ir nepieciešama atzinuma sagatavošanai.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Eksperts piedāvājumā ietverto un pretendenta papildus sniegto informāciju drīkst izmantot tikai sava atzinuma sniegšanai.</w:t>
            </w:r>
          </w:p>
        </w:tc>
      </w:tr>
      <w:tr w:rsidR="00934112" w:rsidRPr="00934112" w:rsidTr="00934112">
        <w:trPr>
          <w:trHeight w:val="661"/>
        </w:trPr>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Konstatējot piedāvājuma neatbilstību kādai no prasībām, Komisijai ir tiesības izslēgt pretendentu no turpmākas dalības iepirkuma procedūrā un neizskatīt piedāvājumu nākamajā izvērtēšanas posmā.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Lai pārbaudītu, vai pretendents nav izslēdzams no dalības iepirkumā Publisko iepirkumu likuma 9.panta astotās daļas 1., 2., 4. vai 5. punktā minēto apstākļu dēļ, Komisija rīkojas atbilstoši Publisko iepirkumu likuma 9.panta devītajai un desmitajai daļai.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Lai pārbaudītu, vai pretendents, kuram būtu piešķiramas līguma slēgšanas tiesības, nav izslēdzams no dalības iepirkumā Starptautisko un Latvijas Republikas nacionālo sankciju likuma 11.1 panta pirmajā daļā minēto apstākļu dēļ, Komisija rīkojas atbilstoši Starptautisko un Latvijas Republikas nacionālo sankciju likuma 11.1 pantam.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iepirkumā.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Triju darba 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rsidR="00370351" w:rsidRDefault="00370351"/>
    <w:sectPr w:rsidR="00370351" w:rsidSect="00FD4B48">
      <w:headerReference w:type="default" r:id="rId7"/>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E8B" w:rsidRDefault="00A07E8B" w:rsidP="00934112">
      <w:pPr>
        <w:spacing w:after="0" w:line="240" w:lineRule="auto"/>
      </w:pPr>
      <w:r>
        <w:separator/>
      </w:r>
    </w:p>
  </w:endnote>
  <w:endnote w:type="continuationSeparator" w:id="0">
    <w:p w:rsidR="00A07E8B" w:rsidRDefault="00A07E8B" w:rsidP="0093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E8B" w:rsidRDefault="00A07E8B" w:rsidP="00934112">
      <w:pPr>
        <w:spacing w:after="0" w:line="240" w:lineRule="auto"/>
      </w:pPr>
      <w:r>
        <w:separator/>
      </w:r>
    </w:p>
  </w:footnote>
  <w:footnote w:type="continuationSeparator" w:id="0">
    <w:p w:rsidR="00A07E8B" w:rsidRDefault="00A07E8B" w:rsidP="0093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112" w:rsidRPr="00D05113" w:rsidRDefault="00934112" w:rsidP="00934112">
    <w:pPr>
      <w:spacing w:after="0"/>
      <w:ind w:right="-908"/>
      <w:jc w:val="right"/>
      <w:rPr>
        <w:rFonts w:eastAsia="Times New Roman" w:cstheme="minorHAnsi"/>
        <w:sz w:val="24"/>
        <w:szCs w:val="24"/>
        <w:lang w:eastAsia="ar-SA"/>
      </w:rPr>
    </w:pPr>
    <w:r w:rsidRPr="0058598E">
      <w:rPr>
        <w:rFonts w:eastAsia="Times New Roman" w:cstheme="minorHAnsi"/>
        <w:sz w:val="24"/>
        <w:szCs w:val="24"/>
        <w:lang w:eastAsia="ar-SA"/>
      </w:rPr>
      <w:t xml:space="preserve">Iepirkuma NND/ </w:t>
    </w:r>
    <w:r w:rsidR="00753CE7">
      <w:rPr>
        <w:rFonts w:eastAsia="Times New Roman" w:cstheme="minorHAnsi"/>
        <w:sz w:val="24"/>
        <w:szCs w:val="24"/>
        <w:lang w:eastAsia="ar-SA"/>
      </w:rPr>
      <w:t>2019/04</w:t>
    </w:r>
  </w:p>
  <w:p w:rsidR="00934112" w:rsidRDefault="00753CE7" w:rsidP="00934112">
    <w:pPr>
      <w:suppressAutoHyphens/>
      <w:spacing w:after="0" w:line="240" w:lineRule="auto"/>
      <w:ind w:right="-908"/>
      <w:jc w:val="right"/>
      <w:rPr>
        <w:rFonts w:eastAsia="Times New Roman" w:cstheme="minorHAnsi"/>
        <w:b/>
        <w:sz w:val="24"/>
        <w:szCs w:val="24"/>
        <w:lang w:eastAsia="ar-SA"/>
      </w:rPr>
    </w:pPr>
    <w:r>
      <w:rPr>
        <w:rFonts w:eastAsia="Times New Roman" w:cstheme="minorHAnsi"/>
        <w:b/>
        <w:sz w:val="24"/>
        <w:szCs w:val="24"/>
        <w:lang w:eastAsia="ar-SA"/>
      </w:rPr>
      <w:t>nolikuma 10</w:t>
    </w:r>
    <w:r w:rsidR="00934112" w:rsidRPr="000C0C3D">
      <w:rPr>
        <w:rFonts w:eastAsia="Times New Roman" w:cstheme="minorHAnsi"/>
        <w:b/>
        <w:sz w:val="24"/>
        <w:szCs w:val="24"/>
        <w:lang w:eastAsia="ar-SA"/>
      </w:rPr>
      <w:t>.pielikums</w:t>
    </w:r>
  </w:p>
  <w:p w:rsidR="00934112" w:rsidRPr="00934112" w:rsidRDefault="00934112" w:rsidP="0093411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112"/>
    <w:rsid w:val="000A59FC"/>
    <w:rsid w:val="000C0C3D"/>
    <w:rsid w:val="002448C5"/>
    <w:rsid w:val="00370351"/>
    <w:rsid w:val="003F566C"/>
    <w:rsid w:val="00434874"/>
    <w:rsid w:val="00437D00"/>
    <w:rsid w:val="004528F9"/>
    <w:rsid w:val="0058598E"/>
    <w:rsid w:val="00607ECE"/>
    <w:rsid w:val="006943E0"/>
    <w:rsid w:val="00753CE7"/>
    <w:rsid w:val="007753A8"/>
    <w:rsid w:val="007F3446"/>
    <w:rsid w:val="007F476B"/>
    <w:rsid w:val="00864872"/>
    <w:rsid w:val="008E5EF9"/>
    <w:rsid w:val="0093175C"/>
    <w:rsid w:val="00934112"/>
    <w:rsid w:val="00A07E8B"/>
    <w:rsid w:val="00A60725"/>
    <w:rsid w:val="00B36B70"/>
    <w:rsid w:val="00C52527"/>
    <w:rsid w:val="00C94F43"/>
    <w:rsid w:val="00FD4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14B9"/>
  <w15:docId w15:val="{E8D64579-3FD1-4F39-BD88-FA80B6A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34112"/>
    <w:pPr>
      <w:spacing w:after="160" w:line="259" w:lineRule="auto"/>
    </w:pPr>
  </w:style>
  <w:style w:type="paragraph" w:styleId="Virsraksts3">
    <w:name w:val="heading 3"/>
    <w:basedOn w:val="Parasts"/>
    <w:next w:val="Parasts"/>
    <w:link w:val="Virsraksts3Rakstz"/>
    <w:uiPriority w:val="9"/>
    <w:qFormat/>
    <w:rsid w:val="004528F9"/>
    <w:pPr>
      <w:keepNext/>
      <w:tabs>
        <w:tab w:val="num" w:pos="-360"/>
      </w:tabs>
      <w:suppressAutoHyphens/>
      <w:spacing w:before="240" w:after="60" w:line="240" w:lineRule="auto"/>
      <w:ind w:left="-360"/>
      <w:outlineLvl w:val="2"/>
    </w:pPr>
    <w:rPr>
      <w:rFonts w:ascii="Arial" w:eastAsia="Times New Roman" w:hAnsi="Arial" w:cs="Arial"/>
      <w:b/>
      <w:bCs/>
      <w:sz w:val="26"/>
      <w:szCs w:val="26"/>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3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rsid w:val="00934112"/>
    <w:rPr>
      <w:rFonts w:ascii="Arial" w:hAnsi="Arial" w:cs="Arial"/>
      <w:color w:val="993366"/>
      <w:sz w:val="20"/>
    </w:rPr>
  </w:style>
  <w:style w:type="paragraph" w:styleId="Sarakstarindkopa">
    <w:name w:val="List Paragraph"/>
    <w:aliases w:val="Normal bullet 2,Bullet list,Saistīto dokumentu saraksts,Syle 1,Virsraksti"/>
    <w:basedOn w:val="Parasts"/>
    <w:link w:val="SarakstarindkopaRakstz"/>
    <w:qFormat/>
    <w:rsid w:val="00934112"/>
    <w:pPr>
      <w:ind w:left="720"/>
      <w:contextualSpacing/>
    </w:p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934112"/>
  </w:style>
  <w:style w:type="paragraph" w:styleId="Galvene">
    <w:name w:val="header"/>
    <w:basedOn w:val="Parasts"/>
    <w:link w:val="GalveneRakstz"/>
    <w:uiPriority w:val="99"/>
    <w:unhideWhenUsed/>
    <w:rsid w:val="009341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4112"/>
  </w:style>
  <w:style w:type="paragraph" w:styleId="Kjene">
    <w:name w:val="footer"/>
    <w:basedOn w:val="Parasts"/>
    <w:link w:val="KjeneRakstz"/>
    <w:uiPriority w:val="99"/>
    <w:unhideWhenUsed/>
    <w:rsid w:val="009341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4112"/>
  </w:style>
  <w:style w:type="character" w:customStyle="1" w:styleId="Virsraksts3Rakstz">
    <w:name w:val="Virsraksts 3 Rakstz."/>
    <w:basedOn w:val="Noklusjumarindkopasfonts"/>
    <w:link w:val="Virsraksts3"/>
    <w:uiPriority w:val="9"/>
    <w:rsid w:val="004528F9"/>
    <w:rPr>
      <w:rFonts w:ascii="Arial" w:eastAsia="Times New Roman" w:hAnsi="Arial" w:cs="Arial"/>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2343</Words>
  <Characters>1337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User</cp:lastModifiedBy>
  <cp:revision>5</cp:revision>
  <cp:lastPrinted>2019-01-25T08:39:00Z</cp:lastPrinted>
  <dcterms:created xsi:type="dcterms:W3CDTF">2019-03-22T14:12:00Z</dcterms:created>
  <dcterms:modified xsi:type="dcterms:W3CDTF">2019-03-26T14:13:00Z</dcterms:modified>
</cp:coreProperties>
</file>